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E" w:rsidRPr="00CD4DA8" w:rsidRDefault="002938B7" w:rsidP="00CD4DA8">
      <w:pPr>
        <w:pStyle w:val="a4"/>
        <w:numPr>
          <w:ilvl w:val="0"/>
          <w:numId w:val="7"/>
        </w:numPr>
        <w:tabs>
          <w:tab w:val="right" w:pos="6091"/>
        </w:tabs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D4DA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DISPOZITII GENERALE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before="324"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se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formează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temeiul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Regulamentului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cadru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organizare</w:t>
      </w:r>
      <w:proofErr w:type="spellEnd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funcţionare</w:t>
      </w:r>
      <w:proofErr w:type="spellEnd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Centrului</w:t>
      </w:r>
      <w:proofErr w:type="spellEnd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E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xcelenţă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Capitolul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III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Managmentul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structura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Centrului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excelenţă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aprobat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prin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Ordinul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Ministrului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Educaţiei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nr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1158 din 04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decembrie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before="108"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al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are ca </w:t>
      </w:r>
      <w:proofErr w:type="spellStart"/>
      <w:proofErr w:type="gram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scop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asigurarea</w:t>
      </w:r>
      <w:proofErr w:type="spellEnd"/>
      <w:proofErr w:type="gram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calităţii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activităţii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formarea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profesională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continuă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cadrelor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didactice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ale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="007E14AD"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după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caz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colegiilor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arondate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monitorizarea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evaluarea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limbunătăţirea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activităţii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elaborarea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testarea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implementarea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noi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inovatoare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practica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internaţională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before="108"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al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este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prezidat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Directorul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adjunct 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="007E14AD"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desfăsoar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activitatea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baza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unui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plan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anual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aprobt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către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directorul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="007E14AD"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ca 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p</w:t>
      </w:r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arte </w:t>
      </w:r>
      <w:proofErr w:type="spellStart"/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componentă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planului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managerial. 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Programul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activitate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</w:t>
      </w:r>
      <w:r w:rsidR="009E718F">
        <w:rPr>
          <w:rStyle w:val="a3"/>
          <w:rFonts w:ascii="Times New Roman" w:hAnsi="Times New Roman" w:cs="Times New Roman"/>
          <w:i w:val="0"/>
          <w:sz w:val="28"/>
          <w:szCs w:val="28"/>
        </w:rPr>
        <w:t>o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este</w:t>
      </w:r>
      <w:proofErr w:type="spellEnd"/>
      <w:proofErr w:type="gram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elaborat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către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directorul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cu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participarea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</w:t>
      </w:r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stului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baza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propunerilor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prezentate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catedre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secţii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alte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subdiviziuni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ale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activează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conformitate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cu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prezentul</w:t>
      </w:r>
      <w:proofErr w:type="spellEnd"/>
    </w:p>
    <w:p w:rsidR="00D815AE" w:rsidRPr="009E718F" w:rsidRDefault="007E14AD" w:rsidP="00CD4DA8">
      <w:pPr>
        <w:pStyle w:val="a4"/>
        <w:numPr>
          <w:ilvl w:val="0"/>
          <w:numId w:val="5"/>
        </w:numPr>
        <w:tabs>
          <w:tab w:val="right" w:pos="8812"/>
        </w:tabs>
        <w:spacing w:before="72"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Regulament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se </w:t>
      </w:r>
      <w:proofErr w:type="spellStart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întruneste_de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4 </w:t>
      </w:r>
      <w:proofErr w:type="spellStart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ori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pe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an</w:t>
      </w:r>
      <w:proofErr w:type="gram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sau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la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solicitarea</w:t>
      </w:r>
      <w:proofErr w:type="spellEnd"/>
      <w:r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directorului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adjunct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sau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la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solicitarea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minimum 1/3 din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numărul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membri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="002938B7" w:rsidRPr="009E718F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815AE" w:rsidRPr="007E14AD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Componenţa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numerică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nominală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este</w:t>
      </w:r>
      <w:proofErr w:type="spellEnd"/>
      <w:proofErr w:type="gram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aprobată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profesoral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Membri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pot fi: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directorul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directorii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adjuncţi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şefi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catedre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după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caz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şefi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secţii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metodişti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cadre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didactice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cu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performanţe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deosebite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activitate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cadre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didactice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cu grad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7E14AD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Componenţa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numerică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nu </w:t>
      </w:r>
      <w:proofErr w:type="spellStart"/>
      <w:proofErr w:type="gram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va</w:t>
      </w:r>
      <w:proofErr w:type="spellEnd"/>
      <w:proofErr w:type="gram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depăşi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15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membri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815AE" w:rsidRDefault="002938B7" w:rsidP="00CD4DA8">
      <w:pPr>
        <w:numPr>
          <w:ilvl w:val="0"/>
          <w:numId w:val="5"/>
        </w:numPr>
        <w:tabs>
          <w:tab w:val="decimal" w:pos="648"/>
          <w:tab w:val="decimal" w:pos="720"/>
          <w:tab w:val="right" w:pos="8812"/>
        </w:tabs>
        <w:spacing w:line="276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Şedinţele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sînt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deliberative,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dacă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la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ele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participă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cel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puţin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2/3 din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numărul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total al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membrilor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Hotărîrile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Consiliului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metodic-ştiinţific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se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adoptă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prin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vot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deschis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cu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majoritatea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simplă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voturi</w:t>
      </w:r>
      <w:proofErr w:type="spellEnd"/>
      <w:r w:rsidRPr="007E14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0725B" w:rsidRPr="00CD4DA8" w:rsidRDefault="0040725B" w:rsidP="00CD4DA8">
      <w:pPr>
        <w:pStyle w:val="a4"/>
        <w:spacing w:before="1008" w:line="276" w:lineRule="auto"/>
        <w:jc w:val="center"/>
        <w:rPr>
          <w:rFonts w:ascii="Times New Roman" w:hAnsi="Times New Roman"/>
          <w:b/>
          <w:color w:val="000000"/>
          <w:spacing w:val="-12"/>
          <w:sz w:val="28"/>
          <w:szCs w:val="28"/>
          <w:lang w:val="ro-RO"/>
        </w:rPr>
      </w:pPr>
      <w:r w:rsidRPr="00CD4DA8">
        <w:rPr>
          <w:rFonts w:ascii="Times New Roman" w:hAnsi="Times New Roman"/>
          <w:b/>
          <w:color w:val="000000"/>
          <w:spacing w:val="-12"/>
          <w:sz w:val="28"/>
          <w:szCs w:val="28"/>
          <w:lang w:val="ro-RO"/>
        </w:rPr>
        <w:lastRenderedPageBreak/>
        <w:t>ATRIBUŢIILE CONSILIULUI METODIC ŞTIINTIFIC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324" w:line="276" w:lineRule="auto"/>
        <w:jc w:val="both"/>
        <w:rPr>
          <w:rFonts w:ascii="Times New Roman" w:hAnsi="Times New Roman"/>
          <w:color w:val="000000"/>
          <w:spacing w:val="8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8"/>
          <w:sz w:val="28"/>
          <w:szCs w:val="28"/>
          <w:lang w:val="ro-RO"/>
        </w:rPr>
        <w:t xml:space="preserve">Elaborează strategia de desfăşurare şi dezvoltare a activităţii metodice în </w:t>
      </w:r>
      <w:r w:rsidRPr="00CD4DA8">
        <w:rPr>
          <w:rFonts w:ascii="Times New Roman" w:hAnsi="Times New Roman"/>
          <w:color w:val="000000"/>
          <w:sz w:val="28"/>
          <w:szCs w:val="28"/>
          <w:lang w:val="ro-RO"/>
        </w:rPr>
        <w:t xml:space="preserve">cadrul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CD4DA8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72" w:line="276" w:lineRule="auto"/>
        <w:jc w:val="both"/>
        <w:rPr>
          <w:rFonts w:ascii="Times New Roman" w:hAnsi="Times New Roman"/>
          <w:color w:val="000000"/>
          <w:spacing w:val="5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5"/>
          <w:sz w:val="28"/>
          <w:szCs w:val="28"/>
          <w:lang w:val="ro-RO"/>
        </w:rPr>
        <w:t xml:space="preserve">Organizează şi monitorizează activitatea metodică a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CD4DA8">
        <w:rPr>
          <w:rFonts w:ascii="Times New Roman" w:hAnsi="Times New Roman"/>
          <w:color w:val="000000"/>
          <w:spacing w:val="5"/>
          <w:sz w:val="28"/>
          <w:szCs w:val="28"/>
          <w:lang w:val="ro-RO"/>
        </w:rPr>
        <w:t>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 xml:space="preserve">Analizează rezultatele activităţii metodice proiectate şi desfăşurate în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="009E718F" w:rsidRPr="00CD4D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CD4DA8">
        <w:rPr>
          <w:rFonts w:ascii="Times New Roman" w:hAnsi="Times New Roman"/>
          <w:color w:val="000000"/>
          <w:sz w:val="28"/>
          <w:szCs w:val="28"/>
          <w:lang w:val="ro-RO"/>
        </w:rPr>
        <w:t>".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72" w:line="276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3"/>
          <w:sz w:val="28"/>
          <w:szCs w:val="28"/>
          <w:lang w:val="ro-RO"/>
        </w:rPr>
        <w:t xml:space="preserve">Aprobă lucrări metodice, ghiduri metodologice, materiale didactice, etc., în </w:t>
      </w:r>
      <w:r w:rsidRPr="00CD4DA8">
        <w:rPr>
          <w:rFonts w:ascii="Times New Roman" w:hAnsi="Times New Roman"/>
          <w:color w:val="000000"/>
          <w:spacing w:val="8"/>
          <w:sz w:val="28"/>
          <w:szCs w:val="28"/>
          <w:lang w:val="ro-RO"/>
        </w:rPr>
        <w:t xml:space="preserve">conformitate cu </w:t>
      </w:r>
      <w:proofErr w:type="spellStart"/>
      <w:r w:rsidRPr="00CD4DA8">
        <w:rPr>
          <w:rFonts w:ascii="Times New Roman" w:hAnsi="Times New Roman"/>
          <w:color w:val="000000"/>
          <w:spacing w:val="8"/>
          <w:sz w:val="28"/>
          <w:szCs w:val="28"/>
          <w:lang w:val="ro-RO"/>
        </w:rPr>
        <w:t>curricula</w:t>
      </w:r>
      <w:proofErr w:type="spellEnd"/>
      <w:r w:rsidRPr="00CD4DA8">
        <w:rPr>
          <w:rFonts w:ascii="Times New Roman" w:hAnsi="Times New Roman"/>
          <w:color w:val="000000"/>
          <w:spacing w:val="8"/>
          <w:sz w:val="28"/>
          <w:szCs w:val="28"/>
          <w:lang w:val="ro-RO"/>
        </w:rPr>
        <w:t xml:space="preserve"> la specialitate/calificare pentru module/unitatea de curs, utilizate în procesul de formare profesională.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 xml:space="preserve">Oferă suport metodologic pentru aplicarea procedurilor şi activităţilor de </w:t>
      </w:r>
      <w:r w:rsidRPr="00CD4DA8">
        <w:rPr>
          <w:rFonts w:ascii="Times New Roman" w:hAnsi="Times New Roman"/>
          <w:color w:val="000000"/>
          <w:spacing w:val="3"/>
          <w:sz w:val="28"/>
          <w:szCs w:val="28"/>
          <w:lang w:val="ro-RO"/>
        </w:rPr>
        <w:t xml:space="preserve">evaluare şi asigurare a calităţii la nivelul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IP.Centrului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de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Excelență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în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Viticultură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și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Vinificație</w:t>
      </w:r>
      <w:proofErr w:type="spellEnd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din </w:t>
      </w:r>
      <w:proofErr w:type="spellStart"/>
      <w:r w:rsidR="009E718F" w:rsidRPr="00CD4DA8">
        <w:rPr>
          <w:rStyle w:val="a3"/>
          <w:rFonts w:ascii="Times New Roman" w:hAnsi="Times New Roman" w:cs="Times New Roman"/>
          <w:i w:val="0"/>
          <w:sz w:val="28"/>
          <w:szCs w:val="28"/>
        </w:rPr>
        <w:t>Chișinău</w:t>
      </w:r>
      <w:proofErr w:type="spellEnd"/>
      <w:r w:rsidRPr="00CD4DA8">
        <w:rPr>
          <w:rFonts w:ascii="Times New Roman" w:hAnsi="Times New Roman"/>
          <w:color w:val="000000"/>
          <w:spacing w:val="3"/>
          <w:sz w:val="28"/>
          <w:szCs w:val="28"/>
          <w:lang w:val="ro-RO"/>
        </w:rPr>
        <w:t xml:space="preserve"> pe următoarele </w:t>
      </w:r>
      <w:r w:rsidRPr="00CD4DA8">
        <w:rPr>
          <w:rFonts w:ascii="Times New Roman" w:hAnsi="Times New Roman"/>
          <w:color w:val="000000"/>
          <w:sz w:val="28"/>
          <w:szCs w:val="28"/>
          <w:lang w:val="ro-RO"/>
        </w:rPr>
        <w:t>aspecte: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decimal" w:pos="504"/>
          <w:tab w:val="left" w:pos="851"/>
          <w:tab w:val="decimal" w:pos="936"/>
        </w:tabs>
        <w:spacing w:before="36" w:line="276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 xml:space="preserve">Eficacitatea educaţională, care constă în mobilizarea de resurse cu </w:t>
      </w:r>
      <w:r w:rsidRPr="00CD4DA8">
        <w:rPr>
          <w:rFonts w:ascii="Times New Roman" w:hAnsi="Times New Roman"/>
          <w:color w:val="000000"/>
          <w:spacing w:val="12"/>
          <w:sz w:val="28"/>
          <w:szCs w:val="28"/>
          <w:lang w:val="ro-RO"/>
        </w:rPr>
        <w:t xml:space="preserve">scopul de a se obţine rezultatele aşteptate ale învăţării, asigurată prin </w:t>
      </w:r>
      <w:r w:rsidRPr="00CD4DA8">
        <w:rPr>
          <w:rFonts w:ascii="Times New Roman" w:hAnsi="Times New Roman"/>
          <w:color w:val="000000"/>
          <w:spacing w:val="10"/>
          <w:sz w:val="28"/>
          <w:szCs w:val="28"/>
          <w:lang w:val="ro-RO"/>
        </w:rPr>
        <w:t>conţinutul programelor de formare profesională;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decimal" w:pos="504"/>
          <w:tab w:val="decimal" w:pos="792"/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 xml:space="preserve">Organizarea </w:t>
      </w:r>
      <w:proofErr w:type="spellStart"/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>acrtivităţii</w:t>
      </w:r>
      <w:proofErr w:type="spellEnd"/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 xml:space="preserve"> metodice prin aplicarea inovaţiilor didactice şi </w:t>
      </w:r>
      <w:r w:rsidRPr="00CD4DA8">
        <w:rPr>
          <w:rFonts w:ascii="Times New Roman" w:hAnsi="Times New Roman"/>
          <w:color w:val="000000"/>
          <w:sz w:val="28"/>
          <w:szCs w:val="28"/>
          <w:lang w:val="ro-RO"/>
        </w:rPr>
        <w:t>tehnologice.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pacing w:val="5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5"/>
          <w:sz w:val="28"/>
          <w:szCs w:val="28"/>
          <w:lang w:val="ro-RO"/>
        </w:rPr>
        <w:t xml:space="preserve">Ascultă şi apreciază Rapoartele de autoevaluare ale solicitanţilor de grade </w:t>
      </w:r>
      <w:r w:rsidRPr="00CD4DA8">
        <w:rPr>
          <w:rFonts w:ascii="Times New Roman" w:hAnsi="Times New Roman"/>
          <w:color w:val="000000"/>
          <w:spacing w:val="10"/>
          <w:sz w:val="28"/>
          <w:szCs w:val="28"/>
          <w:lang w:val="ro-RO"/>
        </w:rPr>
        <w:t xml:space="preserve">didactice, precum şi a coraportorilor, cu luarea deciziilor-propuneri pentru </w:t>
      </w:r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>Comisia de evaluare pe teren.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 xml:space="preserve">Discută, apreciază şi acceptă </w:t>
      </w:r>
      <w:proofErr w:type="spellStart"/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>curriculele</w:t>
      </w:r>
      <w:proofErr w:type="spellEnd"/>
      <w:r w:rsidRPr="00CD4DA8">
        <w:rPr>
          <w:rFonts w:ascii="Times New Roman" w:hAnsi="Times New Roman"/>
          <w:color w:val="000000"/>
          <w:spacing w:val="6"/>
          <w:sz w:val="28"/>
          <w:szCs w:val="28"/>
          <w:lang w:val="ro-RO"/>
        </w:rPr>
        <w:t xml:space="preserve"> la disciplinele de studii conform Planurilor de studii la calificări.</w:t>
      </w:r>
    </w:p>
    <w:p w:rsidR="0040725B" w:rsidRPr="00CD4DA8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108" w:line="276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  <w:r w:rsidRPr="00CD4DA8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 xml:space="preserve">Organizează training-uri, seminare metodice în cadrul şedinţelor în plen </w:t>
      </w:r>
      <w:r w:rsidRPr="00CD4DA8">
        <w:rPr>
          <w:rFonts w:ascii="Times New Roman" w:hAnsi="Times New Roman"/>
          <w:color w:val="000000"/>
          <w:spacing w:val="18"/>
          <w:sz w:val="28"/>
          <w:szCs w:val="28"/>
          <w:lang w:val="ro-RO"/>
        </w:rPr>
        <w:t xml:space="preserve">şi in ateliere, mese rotunde cu discutarea problemelor de metodologie </w:t>
      </w:r>
      <w:r w:rsidRPr="00CD4DA8">
        <w:rPr>
          <w:rFonts w:ascii="Times New Roman" w:hAnsi="Times New Roman"/>
          <w:color w:val="000000"/>
          <w:spacing w:val="8"/>
          <w:sz w:val="28"/>
          <w:szCs w:val="28"/>
          <w:lang w:val="ro-RO"/>
        </w:rPr>
        <w:t>didactică în baza recomandărilor pedagogiei actuale.</w:t>
      </w:r>
    </w:p>
    <w:p w:rsidR="0040725B" w:rsidRDefault="0040725B" w:rsidP="009E718F">
      <w:pPr>
        <w:spacing w:before="108" w:line="276" w:lineRule="auto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</w:p>
    <w:p w:rsidR="0040725B" w:rsidRPr="009E718F" w:rsidRDefault="0040725B" w:rsidP="00CD4DA8">
      <w:pPr>
        <w:pStyle w:val="a4"/>
        <w:spacing w:before="108" w:line="276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  <w:lang w:val="ro-RO"/>
        </w:rPr>
      </w:pPr>
      <w:r w:rsidRPr="009E718F">
        <w:rPr>
          <w:rFonts w:ascii="Times New Roman" w:hAnsi="Times New Roman"/>
          <w:b/>
          <w:color w:val="000000"/>
          <w:spacing w:val="11"/>
          <w:sz w:val="28"/>
          <w:szCs w:val="28"/>
          <w:lang w:val="ro-RO"/>
        </w:rPr>
        <w:t>DISPOZIȚ</w:t>
      </w:r>
      <w:bookmarkStart w:id="0" w:name="_GoBack"/>
      <w:bookmarkEnd w:id="0"/>
      <w:r w:rsidRPr="009E718F">
        <w:rPr>
          <w:rFonts w:ascii="Times New Roman" w:hAnsi="Times New Roman"/>
          <w:b/>
          <w:color w:val="000000"/>
          <w:spacing w:val="11"/>
          <w:sz w:val="28"/>
          <w:szCs w:val="28"/>
          <w:lang w:val="ro-RO"/>
        </w:rPr>
        <w:t>II FINALE</w:t>
      </w:r>
    </w:p>
    <w:p w:rsidR="0040725B" w:rsidRPr="002938B7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108" w:line="276" w:lineRule="auto"/>
        <w:ind w:left="567" w:hanging="207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  <w:r w:rsidRP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>Activitățile Consiliului metodic-științific sunt reflectate în  Procesele verbale, însoțite de materiale anexate, semnate de Președintele Consiliului metodic-științific și secretar. Documentele se păstrează într-un portofoliu de evidență.</w:t>
      </w:r>
    </w:p>
    <w:p w:rsidR="002938B7" w:rsidRPr="002938B7" w:rsidRDefault="0040725B" w:rsidP="00CD4DA8">
      <w:pPr>
        <w:pStyle w:val="a4"/>
        <w:numPr>
          <w:ilvl w:val="0"/>
          <w:numId w:val="5"/>
        </w:numPr>
        <w:tabs>
          <w:tab w:val="left" w:pos="851"/>
        </w:tabs>
        <w:spacing w:before="108" w:line="276" w:lineRule="auto"/>
        <w:ind w:left="567" w:hanging="207"/>
        <w:jc w:val="both"/>
        <w:rPr>
          <w:rFonts w:ascii="Times New Roman" w:hAnsi="Times New Roman"/>
          <w:color w:val="000000"/>
          <w:spacing w:val="11"/>
          <w:sz w:val="28"/>
          <w:szCs w:val="28"/>
          <w:lang w:val="ro-RO"/>
        </w:rPr>
      </w:pPr>
      <w:r w:rsidRP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>Procesele verbale ale ședințelor se înregistrează în Registrul de procese verbale ale Consiliului metodic-științific</w:t>
      </w:r>
      <w:r w:rsidR="002938B7" w:rsidRP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 xml:space="preserve">, care se păstrează în IP.CEVVC, se </w:t>
      </w:r>
      <w:proofErr w:type="spellStart"/>
      <w:r w:rsidR="002938B7" w:rsidRP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>îndosariază</w:t>
      </w:r>
      <w:proofErr w:type="spellEnd"/>
      <w:r w:rsidR="002938B7" w:rsidRP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 xml:space="preserve"> și se numerotează.  Pe ultima foaie directorul semnează pentru autentificarea numărului paginilor din registru și aplică ștampila</w:t>
      </w:r>
      <w:r w:rsidR="002938B7">
        <w:rPr>
          <w:rFonts w:ascii="Times New Roman" w:hAnsi="Times New Roman"/>
          <w:color w:val="000000"/>
          <w:spacing w:val="11"/>
          <w:sz w:val="28"/>
          <w:szCs w:val="28"/>
          <w:lang w:val="ro-RO"/>
        </w:rPr>
        <w:t>.</w:t>
      </w:r>
    </w:p>
    <w:p w:rsidR="0040725B" w:rsidRDefault="0040725B" w:rsidP="009E718F">
      <w:pPr>
        <w:tabs>
          <w:tab w:val="decimal" w:pos="648"/>
          <w:tab w:val="decimal" w:pos="720"/>
          <w:tab w:val="right" w:pos="8812"/>
        </w:tabs>
        <w:spacing w:line="276" w:lineRule="auto"/>
        <w:ind w:left="72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o-RO"/>
        </w:rPr>
      </w:pPr>
    </w:p>
    <w:p w:rsidR="009E718F" w:rsidRPr="0040725B" w:rsidRDefault="009E718F" w:rsidP="009E718F">
      <w:pPr>
        <w:tabs>
          <w:tab w:val="decimal" w:pos="648"/>
          <w:tab w:val="decimal" w:pos="720"/>
          <w:tab w:val="right" w:pos="8812"/>
        </w:tabs>
        <w:spacing w:line="276" w:lineRule="auto"/>
        <w:ind w:left="72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o-RO"/>
        </w:rPr>
      </w:pPr>
    </w:p>
    <w:sectPr w:rsidR="009E718F" w:rsidRPr="0040725B" w:rsidSect="009E718F">
      <w:pgSz w:w="11918" w:h="16854"/>
      <w:pgMar w:top="1135" w:right="1476" w:bottom="129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13"/>
    <w:multiLevelType w:val="hybridMultilevel"/>
    <w:tmpl w:val="9732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E56"/>
    <w:multiLevelType w:val="hybridMultilevel"/>
    <w:tmpl w:val="F90A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3D40"/>
    <w:multiLevelType w:val="multilevel"/>
    <w:tmpl w:val="DD189968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6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448EA"/>
    <w:multiLevelType w:val="hybridMultilevel"/>
    <w:tmpl w:val="24BA4598"/>
    <w:lvl w:ilvl="0" w:tplc="2B641440">
      <w:start w:val="1"/>
      <w:numFmt w:val="upperRoman"/>
      <w:lvlText w:val="%1."/>
      <w:lvlJc w:val="left"/>
      <w:pPr>
        <w:ind w:left="338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44" w:hanging="360"/>
      </w:pPr>
    </w:lvl>
    <w:lvl w:ilvl="2" w:tplc="0418001B" w:tentative="1">
      <w:start w:val="1"/>
      <w:numFmt w:val="lowerRoman"/>
      <w:lvlText w:val="%3."/>
      <w:lvlJc w:val="right"/>
      <w:pPr>
        <w:ind w:left="4464" w:hanging="180"/>
      </w:pPr>
    </w:lvl>
    <w:lvl w:ilvl="3" w:tplc="0418000F" w:tentative="1">
      <w:start w:val="1"/>
      <w:numFmt w:val="decimal"/>
      <w:lvlText w:val="%4."/>
      <w:lvlJc w:val="left"/>
      <w:pPr>
        <w:ind w:left="5184" w:hanging="360"/>
      </w:pPr>
    </w:lvl>
    <w:lvl w:ilvl="4" w:tplc="04180019" w:tentative="1">
      <w:start w:val="1"/>
      <w:numFmt w:val="lowerLetter"/>
      <w:lvlText w:val="%5."/>
      <w:lvlJc w:val="left"/>
      <w:pPr>
        <w:ind w:left="5904" w:hanging="360"/>
      </w:pPr>
    </w:lvl>
    <w:lvl w:ilvl="5" w:tplc="0418001B" w:tentative="1">
      <w:start w:val="1"/>
      <w:numFmt w:val="lowerRoman"/>
      <w:lvlText w:val="%6."/>
      <w:lvlJc w:val="right"/>
      <w:pPr>
        <w:ind w:left="6624" w:hanging="180"/>
      </w:pPr>
    </w:lvl>
    <w:lvl w:ilvl="6" w:tplc="0418000F" w:tentative="1">
      <w:start w:val="1"/>
      <w:numFmt w:val="decimal"/>
      <w:lvlText w:val="%7."/>
      <w:lvlJc w:val="left"/>
      <w:pPr>
        <w:ind w:left="7344" w:hanging="360"/>
      </w:pPr>
    </w:lvl>
    <w:lvl w:ilvl="7" w:tplc="04180019" w:tentative="1">
      <w:start w:val="1"/>
      <w:numFmt w:val="lowerLetter"/>
      <w:lvlText w:val="%8."/>
      <w:lvlJc w:val="left"/>
      <w:pPr>
        <w:ind w:left="8064" w:hanging="360"/>
      </w:pPr>
    </w:lvl>
    <w:lvl w:ilvl="8" w:tplc="0418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4">
    <w:nsid w:val="450B0B8C"/>
    <w:multiLevelType w:val="hybridMultilevel"/>
    <w:tmpl w:val="4F82B0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2E0022"/>
    <w:multiLevelType w:val="hybridMultilevel"/>
    <w:tmpl w:val="AE5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0686"/>
    <w:multiLevelType w:val="multilevel"/>
    <w:tmpl w:val="D39A7C88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6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E"/>
    <w:rsid w:val="002938B7"/>
    <w:rsid w:val="0040725B"/>
    <w:rsid w:val="007E14AD"/>
    <w:rsid w:val="009E718F"/>
    <w:rsid w:val="00C01F24"/>
    <w:rsid w:val="00CD4DA8"/>
    <w:rsid w:val="00D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4AD"/>
    <w:rPr>
      <w:i/>
      <w:iCs/>
    </w:rPr>
  </w:style>
  <w:style w:type="paragraph" w:styleId="a4">
    <w:name w:val="List Paragraph"/>
    <w:basedOn w:val="a"/>
    <w:uiPriority w:val="34"/>
    <w:qFormat/>
    <w:rsid w:val="0040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4AD"/>
    <w:rPr>
      <w:i/>
      <w:iCs/>
    </w:rPr>
  </w:style>
  <w:style w:type="paragraph" w:styleId="a4">
    <w:name w:val="List Paragraph"/>
    <w:basedOn w:val="a"/>
    <w:uiPriority w:val="34"/>
    <w:qFormat/>
    <w:rsid w:val="004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679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2019-11-13T12:57:00Z</cp:lastPrinted>
  <dcterms:created xsi:type="dcterms:W3CDTF">2019-09-17T11:30:00Z</dcterms:created>
  <dcterms:modified xsi:type="dcterms:W3CDTF">2019-11-13T14:40:00Z</dcterms:modified>
</cp:coreProperties>
</file>